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A7AF1" w14:textId="42A16D31" w:rsidR="00527ECD" w:rsidRDefault="00527ECD" w:rsidP="008864B1">
      <w:pPr>
        <w:pStyle w:val="Titre1"/>
      </w:pPr>
      <w:r>
        <w:t xml:space="preserve">Unità </w:t>
      </w:r>
      <w:r w:rsidR="00D44608">
        <w:t>1</w:t>
      </w:r>
      <w:r w:rsidR="008864B1">
        <w:t>1 Roma, città eterna</w:t>
      </w:r>
    </w:p>
    <w:p w14:paraId="72593BA9" w14:textId="7ED63AC9" w:rsidR="00CE6330" w:rsidRPr="00607BFC" w:rsidRDefault="00CE6330" w:rsidP="00607BFC">
      <w:pPr>
        <w:pStyle w:val="Titre2"/>
      </w:pPr>
      <w:r w:rsidRPr="00607BFC">
        <w:rPr>
          <w:rStyle w:val="Nessuno"/>
        </w:rPr>
        <w:t>I segreti di San Clemente p. 138</w:t>
      </w:r>
    </w:p>
    <w:p w14:paraId="523784FC" w14:textId="6A87388B" w:rsidR="00CE6330" w:rsidRPr="00CE6330" w:rsidRDefault="00CE6330" w:rsidP="00CE6330">
      <w:pPr>
        <w:pStyle w:val="Paragraphedeliste"/>
        <w:rPr>
          <w:rStyle w:val="Nessuno"/>
        </w:rPr>
      </w:pPr>
      <w:r>
        <w:rPr>
          <w:rStyle w:val="Nessuno"/>
        </w:rPr>
        <w:t xml:space="preserve">Tutto ebbe inizio nel IV secolo, quando fu qui eretto un antico titulus dedicato a </w:t>
      </w:r>
      <w:r w:rsidR="00A351DE">
        <w:rPr>
          <w:rStyle w:val="Nessuno"/>
        </w:rPr>
        <w:t>S</w:t>
      </w:r>
      <w:r>
        <w:rPr>
          <w:rStyle w:val="Nessuno"/>
        </w:rPr>
        <w:t>an Clemente, terzo papa dopo Pietro. […]</w:t>
      </w:r>
    </w:p>
    <w:p w14:paraId="36F5A697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Oggi possiamo ammirare ben due chiese sovrapposte: quella inferiore rimasta in uso fino all’anno 1000 circa e quella superiore, voluta da papa Pasquale II nei primi anni del 1100 […]. Quest’ultima fu poi in parte modificata durante il pontificato di Clemente XI da Carlo Fontana con il tipico gusto barocco, pur mantenendo ben visibile il suo aspetto più arcaico. […]</w:t>
      </w:r>
    </w:p>
    <w:p w14:paraId="0904D00B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Ma è scendendo nei sotterranei che le sorprese diventano sensazionali. Lungo le pareti della basilica più antica, sono ancora ben visibili infatti gli affreschi realizzati tra IX e XI secolo. […]</w:t>
      </w:r>
    </w:p>
    <w:p w14:paraId="18ADD9AA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 xml:space="preserve">Continuando a scendere […], si raggiunge quello che è il terzo livello, con una serie di ambienti tutti di epoca romana. […] Lo straordinario santuario del misterioso dio Mitra, divinità solare d’origine persiana, sorse alla fine del II secolo d.C. […] </w:t>
      </w:r>
    </w:p>
    <w:p w14:paraId="608413EA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Continuando a scendere fino ai livelli più antichi, quelli che risalgono al I secolo d.C. è possibile inoltre camminare all’interno di una serie di vani ad uso commerciale, pertinenti ad un’altra e più antica insula romana, sotto i cui pavimenti scorre una impetuosa sorgente d’acqua, ancora oggi forte e ricca.</w:t>
      </w:r>
    </w:p>
    <w:p w14:paraId="45FCEAF3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E qui la visita si conclude anche perché ormai ci troviamo a quasi 20 metri di profondità sotto il livello della città attuale!</w:t>
      </w:r>
    </w:p>
    <w:p w14:paraId="45E6C698" w14:textId="467B35BB" w:rsidR="008864B1" w:rsidRPr="00CE6330" w:rsidRDefault="00CE6330" w:rsidP="00607BFC">
      <w:pPr>
        <w:pStyle w:val="Paragraphedeliste"/>
        <w:jc w:val="right"/>
      </w:pPr>
      <w:r w:rsidRPr="00CE6330">
        <w:rPr>
          <w:rStyle w:val="Nessuno"/>
        </w:rPr>
        <w:t xml:space="preserve">Tratto da: </w:t>
      </w:r>
      <w:r w:rsidR="00607BFC" w:rsidRPr="00607BFC">
        <w:rPr>
          <w:rStyle w:val="Hyperlink3"/>
          <w:rFonts w:ascii="Tahoma" w:hAnsi="Tahoma"/>
          <w:b w:val="0"/>
          <w:bCs w:val="0"/>
          <w:i w:val="0"/>
          <w:iCs w:val="0"/>
          <w:color w:val="auto"/>
          <w:u w:val="none"/>
          <w:lang w:val="it-IT"/>
        </w:rPr>
        <w:t>L’Asino d'Oro Associazione Culturale, Roma</w:t>
      </w:r>
    </w:p>
    <w:p w14:paraId="1A79A8B4" w14:textId="7B9A2C33" w:rsidR="00CE6330" w:rsidRDefault="00CE6330">
      <w:pPr>
        <w:suppressAutoHyphens w:val="0"/>
        <w:spacing w:after="160" w:line="259" w:lineRule="auto"/>
        <w:rPr>
          <w:rFonts w:ascii="Tahoma" w:eastAsiaTheme="minorHAnsi" w:hAnsi="Tahoma"/>
          <w:b/>
          <w:sz w:val="32"/>
          <w:szCs w:val="24"/>
          <w:lang w:val="it-IT"/>
        </w:rPr>
      </w:pPr>
      <w:r>
        <w:rPr>
          <w:rFonts w:ascii="Tahoma" w:eastAsiaTheme="minorHAnsi" w:hAnsi="Tahoma"/>
          <w:b/>
          <w:sz w:val="32"/>
          <w:szCs w:val="24"/>
          <w:lang w:val="it-IT"/>
        </w:rPr>
        <w:br w:type="page"/>
      </w:r>
    </w:p>
    <w:p w14:paraId="45596DD5" w14:textId="03EDAE9A" w:rsidR="00CE6330" w:rsidRDefault="00CE6330" w:rsidP="00CE6330">
      <w:pPr>
        <w:pStyle w:val="Titre2"/>
        <w:rPr>
          <w:rFonts w:ascii="Times New Roman" w:eastAsia="Arial Unicode MS" w:hAnsi="Times New Roman"/>
          <w:lang w:eastAsia="fr-FR"/>
        </w:rPr>
      </w:pPr>
      <w:r>
        <w:rPr>
          <w:rStyle w:val="Nessuno"/>
          <w:bCs/>
          <w:iCs/>
          <w:sz w:val="28"/>
        </w:rPr>
        <w:lastRenderedPageBreak/>
        <w:t>Il Campidoglio, ponte fra potere temporale e spirituale p. 139</w:t>
      </w:r>
    </w:p>
    <w:p w14:paraId="6C2971CC" w14:textId="77777777" w:rsidR="00CE6330" w:rsidRPr="00CE6330" w:rsidRDefault="00CE6330" w:rsidP="00CE6330">
      <w:pPr>
        <w:pStyle w:val="Paragraphedeliste"/>
        <w:rPr>
          <w:rStyle w:val="Nessuno"/>
        </w:rPr>
      </w:pPr>
      <w:r>
        <w:rPr>
          <w:rStyle w:val="Nessuno"/>
        </w:rPr>
        <w:t xml:space="preserve">Il </w:t>
      </w:r>
      <w:r w:rsidRPr="00CE6330">
        <w:rPr>
          <w:rStyle w:val="Nessuno"/>
        </w:rPr>
        <w:t>Colle del Campidoglio è un luogo […] importantissimo sin dall’età romana: era infatti in quest’area […] che si trovavano i principali templi […] e […] che si conservavano gli archivi pubblici dello Stato.</w:t>
      </w:r>
    </w:p>
    <w:p w14:paraId="0CFF8C35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Durante i mille anni che separano la caduta di Roma dal restauro di Michelangelo, […] molti  […] edifici […] confermano che […] il Campidoglio è la sede dell’amministrazione civile della città. […]</w:t>
      </w:r>
    </w:p>
    <w:p w14:paraId="42B292B6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Arriviamo al Rinascimento. […] Il Papa Paolo III incarica Michelangelo Buonarroti di rendere nuovamente vivibile e celebrativa la zona del Campidoglio. […]</w:t>
      </w:r>
    </w:p>
    <w:p w14:paraId="57B33891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Se nell’età romana l’affaccio principale era in direzione dei Fori Imperiali, […] la nuova piazza si volge verso il nuovo centro politico di Roma, costituito dal Vaticano e dalla Basilica di San Pietro. […]</w:t>
      </w:r>
    </w:p>
    <w:p w14:paraId="118DF476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Michelangelo provvede a dare un nuovo aspetto alla piazza, disegnando una pavimentazione bellissima […] e riposizionando la statua equestre di Marco Aurelio esattamente al centro della composizione.</w:t>
      </w:r>
    </w:p>
    <w:p w14:paraId="0DE807EB" w14:textId="77777777" w:rsidR="00CE6330" w:rsidRPr="00CE6330" w:rsidRDefault="00CE6330" w:rsidP="00CE6330">
      <w:pPr>
        <w:pStyle w:val="Paragraphedeliste"/>
        <w:rPr>
          <w:rStyle w:val="Nessuno"/>
        </w:rPr>
      </w:pPr>
      <w:r w:rsidRPr="00CE6330">
        <w:rPr>
          <w:rStyle w:val="Nessuno"/>
        </w:rPr>
        <w:t>Infine, l’intervento prevede anche un nuovo accesso mediante la cordonata, […] scenografica scalinata. […] Al principio di quest’ultima Michelangelo colloca […] i Dioscuri accompagnati dai cavalli. […] La mitologia ci insegna che i Dioscuri sono il punto di incontro tra sacro e profano, e servono a ricordarci che il Papa ormai non detiene più soltanto il potere spirituale, ma anche quello temporale.</w:t>
      </w:r>
    </w:p>
    <w:p w14:paraId="19848CED" w14:textId="77777777" w:rsidR="00CE6330" w:rsidRPr="00CE6330" w:rsidRDefault="00CE6330" w:rsidP="00CE6330">
      <w:pPr>
        <w:pStyle w:val="Paragraphedeliste"/>
        <w:rPr>
          <w:rStyle w:val="Nessuno"/>
        </w:rPr>
      </w:pPr>
    </w:p>
    <w:p w14:paraId="649E920B" w14:textId="20C33387" w:rsidR="00CE6330" w:rsidRDefault="004A316C" w:rsidP="004A316C">
      <w:pPr>
        <w:pStyle w:val="Paragraphedeliste"/>
        <w:jc w:val="right"/>
        <w:rPr>
          <w:rFonts w:eastAsiaTheme="minorHAnsi"/>
          <w:b/>
          <w:sz w:val="32"/>
        </w:rPr>
      </w:pPr>
      <w:r w:rsidRPr="004A316C">
        <w:t>Arianna Senore, “Piazza del Campidoglio: 2000 anni di storia in</w:t>
      </w:r>
      <w:r>
        <w:t xml:space="preserve"> </w:t>
      </w:r>
      <w:r w:rsidRPr="004A316C">
        <w:t>uno spazio simbolico”, © lasottilelineadombra.com, 17 gennaio 2018</w:t>
      </w:r>
      <w:r w:rsidR="00CE6330">
        <w:rPr>
          <w:rFonts w:eastAsiaTheme="minorHAnsi"/>
          <w:b/>
          <w:sz w:val="32"/>
        </w:rPr>
        <w:br w:type="page"/>
      </w:r>
    </w:p>
    <w:p w14:paraId="54DA8300" w14:textId="2B3D239F" w:rsidR="00CE6330" w:rsidRDefault="00CE6330" w:rsidP="00CE6330">
      <w:pPr>
        <w:pStyle w:val="Titre2"/>
        <w:rPr>
          <w:rFonts w:ascii="Times New Roman" w:eastAsia="Arial Unicode MS" w:hAnsi="Times New Roman"/>
          <w:lang w:eastAsia="fr-FR"/>
        </w:rPr>
      </w:pPr>
      <w:r>
        <w:rPr>
          <w:rStyle w:val="Nessuno"/>
          <w:bCs/>
        </w:rPr>
        <w:lastRenderedPageBreak/>
        <w:t>La storia di Roma disegnata sul Lungotevere p. 140</w:t>
      </w:r>
    </w:p>
    <w:p w14:paraId="40AF9622" w14:textId="77777777" w:rsidR="00CE6330" w:rsidRDefault="00CE6330" w:rsidP="00CE6330">
      <w:pPr>
        <w:pStyle w:val="Paragraphedeliste"/>
        <w:rPr>
          <w:rStyle w:val="Nessuno"/>
          <w:color w:val="1A1A1A"/>
        </w:rPr>
      </w:pPr>
      <w:r>
        <w:rPr>
          <w:rStyle w:val="Nessuno"/>
          <w:color w:val="1A1A1A"/>
        </w:rPr>
        <w:t>Città che per vanteria o per destino si autoproclama “eterna”, […] Roma è però da sempre patria dell’effimero. Nulla di più effimero dell’antica pittura trionfale, […] questi dipinti si deterioravano rapidamente, e altri ne prendevano il posto. […]</w:t>
      </w:r>
    </w:p>
    <w:p w14:paraId="2B1F67E0" w14:textId="7B9C9835" w:rsidR="00CE6330" w:rsidRDefault="00CE6330" w:rsidP="00CE6330">
      <w:pPr>
        <w:pStyle w:val="Paragraphedeliste"/>
        <w:rPr>
          <w:rStyle w:val="Nessuno"/>
          <w:color w:val="000000"/>
        </w:rPr>
      </w:pPr>
      <w:r>
        <w:rPr>
          <w:rStyle w:val="Nessuno"/>
          <w:color w:val="1A1A1A"/>
        </w:rPr>
        <w:t>C’è dunque qualcosa di antico nel fatto che la tecnica del fregio di Kentridge lo condanna a una vita assai breve. Vi riconosciamo scene dalla Colonna Traiana […] da altre opere di arte antica […], ma nella loro potente evocazione non c’è nulla di retorico. La labilità</w:t>
      </w:r>
      <w:r w:rsidR="004A316C" w:rsidRPr="004A316C">
        <w:rPr>
          <w:rStyle w:val="Nessuno"/>
          <w:color w:val="1A1A1A"/>
          <w:vertAlign w:val="superscript"/>
        </w:rPr>
        <w:t>1</w:t>
      </w:r>
      <w:r>
        <w:rPr>
          <w:rStyle w:val="Nessuno"/>
          <w:color w:val="1A1A1A"/>
        </w:rPr>
        <w:t xml:space="preserve"> della tecnica riduce l’urlo della storia al sussurro dell’esperienza individuale, costringe a riflettere non solo sui trionfi ma sulle sconfitte (“</w:t>
      </w:r>
      <w:r w:rsidRPr="00CE6330">
        <w:rPr>
          <w:rStyle w:val="Nessuno"/>
          <w:iCs/>
          <w:color w:val="1A1A1A"/>
        </w:rPr>
        <w:t>Triumphs and Laments</w:t>
      </w:r>
      <w:r>
        <w:rPr>
          <w:rStyle w:val="Nessuno"/>
          <w:iCs/>
          <w:color w:val="1A1A1A"/>
        </w:rPr>
        <w:t>”</w:t>
      </w:r>
      <w:r>
        <w:rPr>
          <w:rStyle w:val="Nessuno"/>
          <w:color w:val="1A1A1A"/>
        </w:rPr>
        <w:t>, dice il titolo), non solo sulla memoria dei marmi e dei libri ma su “Quello che non ricordo” (così è scritto sul muro).</w:t>
      </w:r>
      <w:r>
        <w:rPr>
          <w:rStyle w:val="Nessuno"/>
          <w:color w:val="4B4B4B"/>
        </w:rPr>
        <w:t xml:space="preserve"> </w:t>
      </w:r>
      <w:r>
        <w:rPr>
          <w:rStyle w:val="Nessuno"/>
          <w:color w:val="1A1A1A"/>
        </w:rPr>
        <w:t>[…]</w:t>
      </w:r>
    </w:p>
    <w:p w14:paraId="6EE0C7D3" w14:textId="77777777" w:rsidR="00CE6330" w:rsidRDefault="00CE6330" w:rsidP="00CE6330">
      <w:pPr>
        <w:pStyle w:val="Paragraphedeliste"/>
        <w:rPr>
          <w:rStyle w:val="Nessuno"/>
        </w:rPr>
      </w:pPr>
      <w:r>
        <w:rPr>
          <w:rStyle w:val="Nessuno"/>
        </w:rPr>
        <w:t>Qui il pathos delle immagini (dal cadavere di Remo a quello di Pasolini) s’intreccia al pathos di un’arte intensamente pensata, ma nata per morire prestissimo. […] L’artista […] pesca in un vastissimo repertorio di eventi, intrecciandoli con mirato anacronismo quasi a suggerire che Roma è infestata in simultanea dalle ombre di un passato troppo ricco, troppo lungo. Imperatori e papi, Cicerone e Mussolini, Anita Garibaldi e l’Anna Magnani di Roma città aperta, migranti a Lampedusa e partigiani fucilati si schierano l’uno accanto all’altro, in una dolorosa fraternità che fa di Roma lo scenario del mondo.</w:t>
      </w:r>
    </w:p>
    <w:p w14:paraId="405EE67C" w14:textId="77777777" w:rsidR="00CE6330" w:rsidRDefault="00CE6330" w:rsidP="00CE6330">
      <w:pPr>
        <w:pStyle w:val="Paragraphedeliste"/>
        <w:jc w:val="right"/>
        <w:rPr>
          <w:rStyle w:val="Nessuno"/>
          <w:b/>
          <w:bCs/>
          <w:i/>
          <w:color w:val="0075B9"/>
        </w:rPr>
      </w:pPr>
      <w:r>
        <w:rPr>
          <w:rStyle w:val="Nessuno"/>
        </w:rPr>
        <w:t xml:space="preserve">Salvatore Settis, “L’elogio dell’effimero scritto sul fiume della città eterna”, © </w:t>
      </w:r>
      <w:r w:rsidRPr="00CE6330">
        <w:rPr>
          <w:rStyle w:val="Nessuno"/>
        </w:rPr>
        <w:t>La Repubblica</w:t>
      </w:r>
      <w:r>
        <w:rPr>
          <w:rStyle w:val="Nessuno"/>
        </w:rPr>
        <w:t>, 2016</w:t>
      </w:r>
    </w:p>
    <w:p w14:paraId="26DF73BD" w14:textId="1F0486C1" w:rsidR="00501BA3" w:rsidRPr="004A316C" w:rsidRDefault="004A316C" w:rsidP="004A316C">
      <w:pPr>
        <w:pStyle w:val="Notes"/>
      </w:pPr>
      <w:r w:rsidRPr="004A316C">
        <w:t>1. fugacità</w:t>
      </w:r>
      <w:r w:rsidR="00501BA3" w:rsidRPr="004A316C">
        <w:br w:type="page"/>
      </w:r>
    </w:p>
    <w:p w14:paraId="1385D72A" w14:textId="6C9A3D3D" w:rsidR="00501BA3" w:rsidRDefault="007577FA" w:rsidP="00501BA3">
      <w:pPr>
        <w:pStyle w:val="Titre2"/>
        <w:rPr>
          <w:rFonts w:ascii="Times New Roman" w:eastAsia="Arial Unicode MS" w:hAnsi="Times New Roman"/>
          <w:lang w:eastAsia="fr-FR"/>
        </w:rPr>
      </w:pPr>
      <w:r w:rsidRPr="007577FA">
        <w:lastRenderedPageBreak/>
        <w:t>Notte a Piazza di Spagna</w:t>
      </w:r>
      <w:r>
        <w:t xml:space="preserve"> p. 141</w:t>
      </w:r>
    </w:p>
    <w:p w14:paraId="109C27E6" w14:textId="06BFBD07" w:rsidR="00501BA3" w:rsidRDefault="00501BA3" w:rsidP="00501BA3">
      <w:pPr>
        <w:pStyle w:val="Paragraphedeliste"/>
        <w:rPr>
          <w:rStyle w:val="Nessuno"/>
        </w:rPr>
      </w:pPr>
      <w:bookmarkStart w:id="0" w:name="_GoBack"/>
      <w:bookmarkEnd w:id="0"/>
      <w:r>
        <w:rPr>
          <w:rStyle w:val="Nessuno"/>
          <w:rFonts w:eastAsia="Arial Unicode MS" w:cs="Arial Unicode MS"/>
        </w:rPr>
        <w:t>Resto in piedi tra questa folla quasi</w:t>
      </w:r>
    </w:p>
    <w:p w14:paraId="51B35A86" w14:textId="77777777" w:rsidR="00501BA3" w:rsidRDefault="00501BA3" w:rsidP="00501BA3">
      <w:pPr>
        <w:pStyle w:val="Paragraphedeliste"/>
        <w:rPr>
          <w:rStyle w:val="Nessuno"/>
        </w:rPr>
      </w:pPr>
      <w:r>
        <w:rPr>
          <w:rStyle w:val="Nessuno"/>
          <w:rFonts w:eastAsia="Arial Unicode MS" w:cs="Arial Unicode MS"/>
        </w:rPr>
        <w:t>il gelo, che da Trinità dei Monti,</w:t>
      </w:r>
    </w:p>
    <w:p w14:paraId="68A4BAD1" w14:textId="77777777" w:rsidR="00501BA3" w:rsidRDefault="00501BA3" w:rsidP="00501BA3">
      <w:pPr>
        <w:pStyle w:val="Paragraphedeliste"/>
        <w:rPr>
          <w:rStyle w:val="Nessuno"/>
        </w:rPr>
      </w:pPr>
      <w:r>
        <w:rPr>
          <w:rStyle w:val="Nessuno"/>
          <w:rFonts w:eastAsia="Arial Unicode MS" w:cs="Arial Unicode MS"/>
        </w:rPr>
        <w:t>dai duri vegetali del Pincio, rasi</w:t>
      </w:r>
    </w:p>
    <w:p w14:paraId="129FD299" w14:textId="77777777" w:rsidR="00501BA3" w:rsidRDefault="00501BA3" w:rsidP="00501BA3">
      <w:pPr>
        <w:pStyle w:val="Paragraphedeliste"/>
        <w:rPr>
          <w:rStyle w:val="Nessuno"/>
        </w:rPr>
      </w:pPr>
      <w:r>
        <w:rPr>
          <w:rStyle w:val="Nessuno"/>
          <w:rFonts w:eastAsia="Arial Unicode MS" w:cs="Arial Unicode MS"/>
        </w:rPr>
        <w:t>contro le stelle e i chiusi orizzonti</w:t>
      </w:r>
    </w:p>
    <w:p w14:paraId="185EF5ED" w14:textId="77777777" w:rsidR="00501BA3" w:rsidRDefault="00501BA3" w:rsidP="00501BA3">
      <w:pPr>
        <w:pStyle w:val="Paragraphedeliste"/>
        <w:rPr>
          <w:rStyle w:val="Nessuno"/>
        </w:rPr>
      </w:pPr>
      <w:r>
        <w:rPr>
          <w:rStyle w:val="Nessuno"/>
          <w:rFonts w:eastAsia="Arial Unicode MS" w:cs="Arial Unicode MS"/>
        </w:rPr>
        <w:t>spegne la città – mi spegnesse il petto,</w:t>
      </w:r>
    </w:p>
    <w:p w14:paraId="0E0D3D5F" w14:textId="77777777" w:rsidR="00501BA3" w:rsidRDefault="00501BA3" w:rsidP="00501BA3">
      <w:pPr>
        <w:pStyle w:val="Paragraphedeliste"/>
        <w:rPr>
          <w:rStyle w:val="Nessuno"/>
        </w:rPr>
      </w:pPr>
      <w:r>
        <w:rPr>
          <w:rStyle w:val="Nessuno"/>
          <w:rFonts w:eastAsia="Arial Unicode MS" w:cs="Arial Unicode MS"/>
        </w:rPr>
        <w:t>rendendo puro stupore i monchi</w:t>
      </w:r>
      <w:r>
        <w:rPr>
          <w:rStyle w:val="Nessuno"/>
          <w:rFonts w:eastAsia="Arial Unicode MS" w:cs="Arial Unicode MS"/>
          <w:vertAlign w:val="superscript"/>
        </w:rPr>
        <w:t>1</w:t>
      </w:r>
    </w:p>
    <w:p w14:paraId="4741F84B" w14:textId="742C4EEF" w:rsidR="00501BA3" w:rsidRDefault="00501BA3" w:rsidP="00501BA3">
      <w:pPr>
        <w:pStyle w:val="Paragraphedeliste"/>
        <w:rPr>
          <w:rStyle w:val="Nessuno"/>
          <w:rFonts w:eastAsia="Arial Unicode MS" w:cs="Arial Unicode MS"/>
        </w:rPr>
      </w:pPr>
      <w:r>
        <w:rPr>
          <w:rStyle w:val="Nessuno"/>
          <w:rFonts w:eastAsia="Arial Unicode MS" w:cs="Arial Unicode MS"/>
        </w:rPr>
        <w:t>sentimenti, pietà , amarezza. [</w:t>
      </w:r>
      <w:r>
        <w:rPr>
          <w:rStyle w:val="Nessuno"/>
          <w:rFonts w:eastAsia="Arial Unicode MS"/>
        </w:rPr>
        <w:t>…</w:t>
      </w:r>
      <w:r>
        <w:rPr>
          <w:rStyle w:val="Nessuno"/>
          <w:rFonts w:eastAsia="Arial Unicode MS" w:cs="Arial Unicode MS"/>
        </w:rPr>
        <w:t>]</w:t>
      </w:r>
    </w:p>
    <w:p w14:paraId="48DF3B73" w14:textId="02EE017F" w:rsidR="00501BA3" w:rsidRDefault="00501BA3" w:rsidP="00607BFC">
      <w:pPr>
        <w:pStyle w:val="Paragraphedeliste"/>
        <w:jc w:val="right"/>
        <w:rPr>
          <w:rStyle w:val="Nessuno"/>
        </w:rPr>
      </w:pPr>
      <w:r>
        <w:rPr>
          <w:rStyle w:val="Nessuno"/>
          <w:rFonts w:eastAsia="Arial Unicode MS" w:cs="Arial Unicode MS"/>
        </w:rPr>
        <w:t xml:space="preserve">Paolo </w:t>
      </w:r>
      <w:r w:rsidRPr="00501BA3">
        <w:rPr>
          <w:rStyle w:val="Nessuno"/>
          <w:rFonts w:eastAsia="Arial Unicode MS" w:cs="Arial Unicode MS"/>
        </w:rPr>
        <w:t>Pasolini, “Le ceneri di Gramsci”,</w:t>
      </w:r>
      <w:r>
        <w:rPr>
          <w:rStyle w:val="Nessuno"/>
          <w:rFonts w:eastAsia="Arial Unicode MS" w:cs="Arial Unicode MS"/>
        </w:rPr>
        <w:t xml:space="preserve"> </w:t>
      </w:r>
      <w:r>
        <w:rPr>
          <w:rStyle w:val="Nessuno"/>
          <w:rFonts w:eastAsia="Arial Unicode MS"/>
        </w:rPr>
        <w:t>©</w:t>
      </w:r>
      <w:r>
        <w:rPr>
          <w:rStyle w:val="Nessuno"/>
          <w:rFonts w:eastAsia="Arial Unicode MS" w:cs="Arial Unicode MS"/>
        </w:rPr>
        <w:t xml:space="preserve"> ed. Garzanti, 1957</w:t>
      </w:r>
    </w:p>
    <w:p w14:paraId="36F87B53" w14:textId="77777777" w:rsidR="00501BA3" w:rsidRDefault="00501BA3" w:rsidP="00501BA3">
      <w:pPr>
        <w:pStyle w:val="Notes"/>
      </w:pPr>
      <w:r>
        <w:t>1. incompleti</w:t>
      </w:r>
    </w:p>
    <w:p w14:paraId="660BA7D9" w14:textId="1915AD58" w:rsidR="00675737" w:rsidRDefault="00675737">
      <w:pPr>
        <w:suppressAutoHyphens w:val="0"/>
        <w:spacing w:after="160" w:line="259" w:lineRule="auto"/>
        <w:rPr>
          <w:rFonts w:ascii="Tahoma" w:eastAsiaTheme="minorHAnsi" w:hAnsi="Tahoma"/>
          <w:b/>
          <w:sz w:val="32"/>
          <w:szCs w:val="24"/>
          <w:lang w:val="it-IT"/>
        </w:rPr>
      </w:pPr>
      <w:r>
        <w:rPr>
          <w:rFonts w:ascii="Tahoma" w:eastAsiaTheme="minorHAnsi" w:hAnsi="Tahoma"/>
          <w:b/>
          <w:sz w:val="32"/>
          <w:szCs w:val="24"/>
          <w:lang w:val="it-IT"/>
        </w:rPr>
        <w:br w:type="page"/>
      </w:r>
    </w:p>
    <w:p w14:paraId="5EF997B9" w14:textId="015D8FB2" w:rsidR="00607BFC" w:rsidRPr="00607BFC" w:rsidRDefault="00B766EC" w:rsidP="00B766EC">
      <w:pPr>
        <w:pStyle w:val="Titre2"/>
      </w:pPr>
      <w:r>
        <w:rPr>
          <w:lang w:eastAsia="en-US"/>
        </w:rPr>
        <w:lastRenderedPageBreak/>
        <w:t xml:space="preserve">Roma, luogo di </w:t>
      </w:r>
      <w:r w:rsidRPr="00B766EC">
        <w:t>narrazione</w:t>
      </w:r>
      <w:r>
        <w:t xml:space="preserve"> </w:t>
      </w:r>
      <w:r w:rsidR="00607BFC" w:rsidRPr="00B766EC">
        <w:rPr>
          <w:rStyle w:val="Nessuno"/>
        </w:rPr>
        <w:t>pp</w:t>
      </w:r>
      <w:r w:rsidR="00607BFC">
        <w:rPr>
          <w:rStyle w:val="Nessuno"/>
        </w:rPr>
        <w:t>. 145-146</w:t>
      </w:r>
    </w:p>
    <w:p w14:paraId="283E7B3C" w14:textId="77777777" w:rsidR="00607BFC" w:rsidRPr="00607BFC" w:rsidRDefault="00607BFC" w:rsidP="00607BFC">
      <w:pPr>
        <w:pStyle w:val="Paragraphedeliste"/>
        <w:rPr>
          <w:rStyle w:val="Hyperlink1"/>
          <w:rFonts w:ascii="Tahoma" w:hAnsi="Tahoma"/>
        </w:rPr>
      </w:pPr>
      <w:r w:rsidRPr="00607BFC">
        <w:rPr>
          <w:rStyle w:val="Hyperlink1"/>
          <w:rFonts w:ascii="Tahoma" w:eastAsia="Arial Unicode MS" w:hAnsi="Tahoma"/>
        </w:rPr>
        <w:t>Non è vero che Roma non conosce la modernità, la conosce a pezzi, un quartiere per volta, ognuno diverso dal precedente. Mentre Milano risulta facilmente racchiudibile in poche etichette (la moda, l’industria, il design), Roma rimane uno spazio ambiguo perché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di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etichette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ne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ha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troppe.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Il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bolognese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Stefano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Benni,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cercando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di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spiegare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il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suo trasferimento a Roma, a un certo punto afferma che “Roma è l’unica città italiana che ha un quartiere per ogni stato d’animo”. Roma è simultaneamente paese e metropoli; provinciale e universale […]. Questa progettazione sempre parziale mai globale dello spazio urbano produce decine di microcosmi differenti che, scontrandosi o  incontrandosi riescono a trasformarla in una quinta scenica adatta ad ogni tipo di narrazione.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[…]</w:t>
      </w:r>
    </w:p>
    <w:p w14:paraId="000A7D46" w14:textId="77777777" w:rsidR="00607BFC" w:rsidRPr="00607BFC" w:rsidRDefault="00607BFC" w:rsidP="00607BFC">
      <w:pPr>
        <w:pStyle w:val="Paragraphedeliste"/>
        <w:rPr>
          <w:rStyle w:val="Hyperlink1"/>
          <w:rFonts w:ascii="Tahoma" w:eastAsia="Arial Unicode MS" w:hAnsi="Tahoma"/>
        </w:rPr>
      </w:pPr>
      <w:r w:rsidRPr="00607BFC">
        <w:rPr>
          <w:rStyle w:val="Hyperlink1"/>
          <w:rFonts w:ascii="Tahoma" w:eastAsia="Arial Unicode MS" w:hAnsi="Tahoma"/>
        </w:rPr>
        <w:t xml:space="preserve">L’immaginario </w:t>
      </w:r>
      <w:r w:rsidRPr="00607BFC">
        <w:t xml:space="preserve">romano </w:t>
      </w:r>
      <w:r w:rsidRPr="00607BFC">
        <w:rPr>
          <w:rStyle w:val="Hyperlink1"/>
          <w:rFonts w:ascii="Tahoma" w:eastAsia="Arial Unicode MS" w:hAnsi="Tahoma"/>
        </w:rPr>
        <w:t xml:space="preserve">si è </w:t>
      </w:r>
      <w:r w:rsidRPr="00607BFC">
        <w:t xml:space="preserve">sempre nutrito del degrado, del disordine, del </w:t>
      </w:r>
      <w:r w:rsidRPr="00607BFC">
        <w:rPr>
          <w:rStyle w:val="Hyperlink1"/>
          <w:rFonts w:ascii="Tahoma" w:eastAsia="Arial Unicode MS" w:hAnsi="Tahoma"/>
        </w:rPr>
        <w:t>mescolamento di registri e paradigmi diversi e opposti, a patto che accanto a tutto ciò ci sia anche altro. E non parlo solo della “grande bellezza” dei suoi monumenti e del fascino per la sua storia millenaria. A leggere i loro diari, i visitatori della Roma dell’Ottocento rimanevano stupefatti non solo dal contrasto degrado-bellezza della città ma anche dalla quantità di eventi che si svolgevano in quella che loro stessi definivano una “metropoli paesana”: mostre, intronizzazioni, processioni, santificazioni, feste aristocratiche e popolari si susseguivano quasi quotidianamente, tanto che spesso all’entrata delle osterie era affisso il calendario degli eventi della settimana.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[…]</w:t>
      </w:r>
    </w:p>
    <w:p w14:paraId="2D749D0E" w14:textId="77777777" w:rsidR="00607BFC" w:rsidRPr="00607BFC" w:rsidRDefault="00607BFC" w:rsidP="00607BFC">
      <w:pPr>
        <w:pStyle w:val="Paragraphedeliste"/>
        <w:rPr>
          <w:rStyle w:val="Hyperlink1"/>
          <w:rFonts w:ascii="Tahoma" w:eastAsia="Arial Unicode MS" w:hAnsi="Tahoma"/>
        </w:rPr>
      </w:pPr>
      <w:r w:rsidRPr="00607BFC">
        <w:rPr>
          <w:rStyle w:val="Hyperlink1"/>
          <w:rFonts w:ascii="Tahoma" w:eastAsia="Arial Unicode MS" w:hAnsi="Tahoma"/>
        </w:rPr>
        <w:t xml:space="preserve">Gli stranieri, quindi, venivano a Roma per assistere o partecipare come protagonisti a spettacoli, e non solo per visitare un museo a cielo aperto. Il tessuto storico urbano e monumentale non era valorizzato solo in quanto tale ma soprattutto per la sua capacità  di diventare quinta scenica di ogni tipo di eventi. E lo sviluppo urbanistico e politico (Roma capitale) successivo non farà altro che moltiplicare le possibili scene: la firma di trattati, la visita di capi di Stato, le adunate fasciste a Piazza </w:t>
      </w:r>
      <w:r w:rsidRPr="00607BFC">
        <w:t xml:space="preserve">Venezia, </w:t>
      </w:r>
      <w:r w:rsidRPr="00607BFC">
        <w:rPr>
          <w:rStyle w:val="Hyperlink1"/>
          <w:rFonts w:ascii="Tahoma" w:eastAsia="Arial Unicode MS" w:hAnsi="Tahoma"/>
        </w:rPr>
        <w:t xml:space="preserve">le Olimpiadi del ’60, manifestazioni e cortei di ogni tipo; perfino le violenze di piazza (come dimenticare gli scontri di </w:t>
      </w:r>
      <w:r w:rsidRPr="00607BFC">
        <w:t xml:space="preserve">Valle </w:t>
      </w:r>
      <w:r w:rsidRPr="00607BFC">
        <w:rPr>
          <w:rStyle w:val="Hyperlink1"/>
          <w:rFonts w:ascii="Tahoma" w:eastAsia="Arial Unicode MS" w:hAnsi="Tahoma"/>
        </w:rPr>
        <w:t xml:space="preserve">Giulia del 1968?) contribuiranno a nutrire il suo immaginario. Si pensi anche a quegli amministratori comunisti che alla fine degli anni </w:t>
      </w:r>
      <w:r w:rsidRPr="00607BFC">
        <w:rPr>
          <w:rStyle w:val="Hyperlink1"/>
          <w:rFonts w:ascii="Tahoma" w:eastAsia="Arial Unicode MS" w:hAnsi="Tahoma"/>
        </w:rPr>
        <w:lastRenderedPageBreak/>
        <w:t>Settanta e a dispetto degli immani problemi che la città viveva in quel periodo, non hanno avuto paura a mettere in piedi l’</w:t>
      </w:r>
      <w:r w:rsidRPr="00607BFC">
        <w:rPr>
          <w:rStyle w:val="Nessuno"/>
        </w:rPr>
        <w:t>Estate Romana</w:t>
      </w:r>
      <w:r w:rsidRPr="00607BFC">
        <w:rPr>
          <w:rStyle w:val="Hyperlink1"/>
          <w:rFonts w:ascii="Tahoma" w:eastAsia="Arial Unicode MS" w:hAnsi="Tahoma"/>
        </w:rPr>
        <w:t>, trasformando ancora una volta il suo territorio in un palcoscenico di eventi, modello delle decine di festival di ogni  ordine e grado che oggi infestano tutte le città italiane.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[…]</w:t>
      </w:r>
    </w:p>
    <w:p w14:paraId="6DB9E585" w14:textId="77777777" w:rsidR="00607BFC" w:rsidRPr="00607BFC" w:rsidRDefault="00607BFC" w:rsidP="00607BFC">
      <w:pPr>
        <w:pStyle w:val="Paragraphedeliste"/>
        <w:rPr>
          <w:rStyle w:val="Hyperlink1"/>
          <w:rFonts w:ascii="Tahoma" w:eastAsia="Arial Unicode MS" w:hAnsi="Tahoma"/>
        </w:rPr>
      </w:pPr>
      <w:r w:rsidRPr="00607BFC">
        <w:rPr>
          <w:rStyle w:val="Hyperlink1"/>
          <w:rFonts w:ascii="Tahoma" w:eastAsia="Arial Unicode MS" w:hAnsi="Tahoma"/>
        </w:rPr>
        <w:t>Sono gli eventi e i racconti che esaltano la quinta artistica e architettonica, la attualizzano e la rendono</w:t>
      </w:r>
      <w:r w:rsidRPr="00607BFC">
        <w:t xml:space="preserve"> </w:t>
      </w:r>
      <w:r w:rsidRPr="00607BFC">
        <w:rPr>
          <w:rStyle w:val="Hyperlink1"/>
          <w:rFonts w:ascii="Tahoma" w:eastAsia="Arial Unicode MS" w:hAnsi="Tahoma"/>
        </w:rPr>
        <w:t>viva.</w:t>
      </w:r>
    </w:p>
    <w:p w14:paraId="0FA71914" w14:textId="08D7F11F" w:rsidR="00607BFC" w:rsidRPr="00607BFC" w:rsidRDefault="00607BFC" w:rsidP="00607BFC">
      <w:pPr>
        <w:pStyle w:val="Paragraphedeliste"/>
        <w:jc w:val="right"/>
        <w:rPr>
          <w:rFonts w:eastAsia="Arial Unicode MS"/>
        </w:rPr>
      </w:pPr>
      <w:r w:rsidRPr="00607BFC">
        <w:rPr>
          <w:rStyle w:val="Hyperlink1"/>
          <w:rFonts w:ascii="Tahoma" w:eastAsia="Arial Unicode MS" w:hAnsi="Tahoma"/>
        </w:rPr>
        <w:t>Emiliano Ilardi, “</w:t>
      </w:r>
      <w:r w:rsidRPr="00607BFC">
        <w:rPr>
          <w:rStyle w:val="Nessuno"/>
        </w:rPr>
        <w:t>La capitale delle storie. Roma come contesto narrativo”, © Trace Urbane, 201</w:t>
      </w:r>
      <w:r w:rsidR="004A316C">
        <w:rPr>
          <w:rStyle w:val="Nessuno"/>
        </w:rPr>
        <w:t>8</w:t>
      </w:r>
    </w:p>
    <w:p w14:paraId="6FA7C0F0" w14:textId="77777777" w:rsidR="00EE1D54" w:rsidRPr="00607BFC" w:rsidRDefault="00EE1D54" w:rsidP="00607BFC">
      <w:pPr>
        <w:pStyle w:val="Paragraphedeliste"/>
      </w:pPr>
    </w:p>
    <w:sectPr w:rsidR="00EE1D54" w:rsidRPr="0060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CD"/>
    <w:rsid w:val="00014175"/>
    <w:rsid w:val="000B557B"/>
    <w:rsid w:val="0014759F"/>
    <w:rsid w:val="001D7E00"/>
    <w:rsid w:val="00200BF7"/>
    <w:rsid w:val="002D1693"/>
    <w:rsid w:val="002E3E08"/>
    <w:rsid w:val="00306DBD"/>
    <w:rsid w:val="0039467F"/>
    <w:rsid w:val="003C2121"/>
    <w:rsid w:val="003D3A50"/>
    <w:rsid w:val="00414F23"/>
    <w:rsid w:val="004A316C"/>
    <w:rsid w:val="004C3452"/>
    <w:rsid w:val="00501BA3"/>
    <w:rsid w:val="00527ECD"/>
    <w:rsid w:val="0054774D"/>
    <w:rsid w:val="005930C5"/>
    <w:rsid w:val="00607BFC"/>
    <w:rsid w:val="00633294"/>
    <w:rsid w:val="00675737"/>
    <w:rsid w:val="00681854"/>
    <w:rsid w:val="007577FA"/>
    <w:rsid w:val="008434D6"/>
    <w:rsid w:val="00861D7C"/>
    <w:rsid w:val="008864B1"/>
    <w:rsid w:val="008E3C01"/>
    <w:rsid w:val="00A1562B"/>
    <w:rsid w:val="00A351DE"/>
    <w:rsid w:val="00A35E84"/>
    <w:rsid w:val="00A46CFA"/>
    <w:rsid w:val="00B06067"/>
    <w:rsid w:val="00B766EC"/>
    <w:rsid w:val="00BA6D04"/>
    <w:rsid w:val="00BB1FDE"/>
    <w:rsid w:val="00C5760D"/>
    <w:rsid w:val="00CE6330"/>
    <w:rsid w:val="00D3582B"/>
    <w:rsid w:val="00D44608"/>
    <w:rsid w:val="00E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FE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iPriority w:val="99"/>
    <w:semiHidden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iPriority w:val="99"/>
    <w:semiHidden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1217</Words>
  <Characters>6696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Abt</dc:creator>
  <cp:keywords/>
  <dc:description/>
  <cp:lastModifiedBy>Petra</cp:lastModifiedBy>
  <cp:revision>10</cp:revision>
  <cp:lastPrinted>2020-03-17T13:34:00Z</cp:lastPrinted>
  <dcterms:created xsi:type="dcterms:W3CDTF">2020-03-17T15:42:00Z</dcterms:created>
  <dcterms:modified xsi:type="dcterms:W3CDTF">2020-03-19T15:14:00Z</dcterms:modified>
</cp:coreProperties>
</file>